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995614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ТЕХНИКА СОЗДАНИЯ ЮРИДИЧЕСКИХ ДОКУМЕНТОВ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F50F7A" w:rsidRDefault="00995614" w:rsidP="0099561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995614">
        <w:t xml:space="preserve">Горохова, С. С.  Юридическая </w:t>
      </w:r>
      <w:proofErr w:type="gramStart"/>
      <w:r w:rsidRPr="00995614">
        <w:t>техника :</w:t>
      </w:r>
      <w:proofErr w:type="gramEnd"/>
      <w:r w:rsidRPr="00995614">
        <w:t xml:space="preserve"> учебник и практикум для вузов / С. С. Горохова. — 3-е изд., </w:t>
      </w:r>
      <w:proofErr w:type="spellStart"/>
      <w:r w:rsidRPr="00995614">
        <w:t>перераб</w:t>
      </w:r>
      <w:proofErr w:type="spellEnd"/>
      <w:proofErr w:type="gramStart"/>
      <w:r w:rsidRPr="00995614">
        <w:t>. и</w:t>
      </w:r>
      <w:proofErr w:type="gramEnd"/>
      <w:r w:rsidRPr="00995614">
        <w:t xml:space="preserve"> доп. — Москва : Издательство </w:t>
      </w:r>
      <w:proofErr w:type="spellStart"/>
      <w:r w:rsidRPr="00995614">
        <w:t>Юрайт</w:t>
      </w:r>
      <w:proofErr w:type="spellEnd"/>
      <w:r w:rsidRPr="00995614">
        <w:t xml:space="preserve">, 2024. — 340 с.— URL: </w:t>
      </w:r>
      <w:hyperlink r:id="rId9" w:history="1">
        <w:r w:rsidRPr="00C44ED4">
          <w:rPr>
            <w:rStyle w:val="a9"/>
          </w:rPr>
          <w:t>https://urait.ru/bcode/535031</w:t>
        </w:r>
      </w:hyperlink>
    </w:p>
    <w:p w:rsidR="00995614" w:rsidRPr="00F50F7A" w:rsidRDefault="00995614" w:rsidP="00995614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jc w:val="both"/>
      </w:pPr>
      <w:r w:rsidRPr="00995614">
        <w:rPr>
          <w:bCs/>
        </w:rPr>
        <w:t xml:space="preserve">Калина, В. Ф.  Юридическая </w:t>
      </w:r>
      <w:proofErr w:type="gramStart"/>
      <w:r w:rsidRPr="00995614">
        <w:rPr>
          <w:bCs/>
        </w:rPr>
        <w:t>техника :</w:t>
      </w:r>
      <w:proofErr w:type="gramEnd"/>
      <w:r w:rsidRPr="00995614">
        <w:rPr>
          <w:bCs/>
        </w:rPr>
        <w:t xml:space="preserve"> учебник для вузов / В. Ф. Калина. — 2-е изд., </w:t>
      </w:r>
      <w:proofErr w:type="spellStart"/>
      <w:r w:rsidRPr="00995614">
        <w:rPr>
          <w:bCs/>
        </w:rPr>
        <w:t>перераб</w:t>
      </w:r>
      <w:proofErr w:type="spellEnd"/>
      <w:proofErr w:type="gramStart"/>
      <w:r w:rsidRPr="00995614">
        <w:rPr>
          <w:bCs/>
        </w:rPr>
        <w:t>. и</w:t>
      </w:r>
      <w:proofErr w:type="gramEnd"/>
      <w:r w:rsidRPr="00995614">
        <w:rPr>
          <w:bCs/>
        </w:rPr>
        <w:t xml:space="preserve"> доп. — Москва : Издательство </w:t>
      </w:r>
      <w:proofErr w:type="spellStart"/>
      <w:r w:rsidRPr="00995614">
        <w:rPr>
          <w:bCs/>
        </w:rPr>
        <w:t>Юрайт</w:t>
      </w:r>
      <w:proofErr w:type="spellEnd"/>
      <w:r w:rsidRPr="00995614">
        <w:rPr>
          <w:bCs/>
        </w:rPr>
        <w:t xml:space="preserve">, 2024. — 264 с.— URL: </w:t>
      </w:r>
      <w:hyperlink r:id="rId10" w:history="1">
        <w:r w:rsidRPr="00995614">
          <w:rPr>
            <w:rStyle w:val="a9"/>
            <w:bCs/>
          </w:rPr>
          <w:t>https://urait.ru/bcode/536109</w:t>
        </w:r>
      </w:hyperlink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113A96" w:rsidRDefault="00995614" w:rsidP="00756FCD">
      <w:pPr>
        <w:pStyle w:val="101"/>
        <w:ind w:firstLine="709"/>
        <w:jc w:val="both"/>
        <w:rPr>
          <w:iCs/>
          <w:sz w:val="28"/>
          <w:szCs w:val="28"/>
        </w:rPr>
      </w:pPr>
      <w:proofErr w:type="spellStart"/>
      <w:r w:rsidRPr="00995614">
        <w:rPr>
          <w:bCs/>
          <w:iCs/>
          <w:sz w:val="28"/>
          <w:szCs w:val="28"/>
        </w:rPr>
        <w:t>Бялт</w:t>
      </w:r>
      <w:proofErr w:type="spellEnd"/>
      <w:r w:rsidRPr="00995614">
        <w:rPr>
          <w:bCs/>
          <w:iCs/>
          <w:sz w:val="28"/>
          <w:szCs w:val="28"/>
        </w:rPr>
        <w:t xml:space="preserve">, В. С.  Юридическая техника в </w:t>
      </w:r>
      <w:proofErr w:type="gramStart"/>
      <w:r w:rsidRPr="00995614">
        <w:rPr>
          <w:bCs/>
          <w:iCs/>
          <w:sz w:val="28"/>
          <w:szCs w:val="28"/>
        </w:rPr>
        <w:t>схемах :</w:t>
      </w:r>
      <w:proofErr w:type="gramEnd"/>
      <w:r w:rsidRPr="00995614">
        <w:rPr>
          <w:bCs/>
          <w:iCs/>
          <w:sz w:val="28"/>
          <w:szCs w:val="28"/>
        </w:rPr>
        <w:t xml:space="preserve"> учебное пособие для вузов / В. С. </w:t>
      </w:r>
      <w:proofErr w:type="spellStart"/>
      <w:r w:rsidRPr="00995614">
        <w:rPr>
          <w:bCs/>
          <w:iCs/>
          <w:sz w:val="28"/>
          <w:szCs w:val="28"/>
        </w:rPr>
        <w:t>Бялт</w:t>
      </w:r>
      <w:proofErr w:type="spellEnd"/>
      <w:r w:rsidRPr="00995614">
        <w:rPr>
          <w:bCs/>
          <w:iCs/>
          <w:sz w:val="28"/>
          <w:szCs w:val="28"/>
        </w:rPr>
        <w:t xml:space="preserve">. — 3-е изд., </w:t>
      </w:r>
      <w:proofErr w:type="spellStart"/>
      <w:r w:rsidRPr="00995614">
        <w:rPr>
          <w:bCs/>
          <w:iCs/>
          <w:sz w:val="28"/>
          <w:szCs w:val="28"/>
        </w:rPr>
        <w:t>испр</w:t>
      </w:r>
      <w:proofErr w:type="spellEnd"/>
      <w:proofErr w:type="gramStart"/>
      <w:r w:rsidRPr="00995614">
        <w:rPr>
          <w:bCs/>
          <w:iCs/>
          <w:sz w:val="28"/>
          <w:szCs w:val="28"/>
        </w:rPr>
        <w:t>. и</w:t>
      </w:r>
      <w:proofErr w:type="gramEnd"/>
      <w:r w:rsidRPr="00995614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995614">
        <w:rPr>
          <w:bCs/>
          <w:iCs/>
          <w:sz w:val="28"/>
          <w:szCs w:val="28"/>
        </w:rPr>
        <w:t>Юрайт</w:t>
      </w:r>
      <w:proofErr w:type="spellEnd"/>
      <w:r w:rsidRPr="00995614">
        <w:rPr>
          <w:bCs/>
          <w:iCs/>
          <w:sz w:val="28"/>
          <w:szCs w:val="28"/>
        </w:rPr>
        <w:t xml:space="preserve">, 2024. — 89 с.— URL: </w:t>
      </w:r>
      <w:hyperlink r:id="rId11" w:history="1">
        <w:r w:rsidRPr="00995614">
          <w:rPr>
            <w:rStyle w:val="a9"/>
            <w:bCs/>
            <w:iCs/>
            <w:sz w:val="28"/>
            <w:szCs w:val="28"/>
          </w:rPr>
          <w:t>https://urait.ru/bcode/540666</w:t>
        </w:r>
      </w:hyperlink>
    </w:p>
    <w:p w:rsidR="00995614" w:rsidRDefault="00995614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41483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41483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4148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4148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410CAA" w:rsidRPr="0020791C" w:rsidRDefault="00410CAA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  <w:bookmarkStart w:id="1" w:name="_GoBack"/>
      <w:bookmarkEnd w:id="1"/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83" w:rsidRPr="00191E6C" w:rsidRDefault="00041483" w:rsidP="00786DD0">
      <w:pPr>
        <w:spacing w:after="0" w:line="240" w:lineRule="auto"/>
      </w:pPr>
      <w:r>
        <w:separator/>
      </w:r>
    </w:p>
  </w:endnote>
  <w:endnote w:type="continuationSeparator" w:id="0">
    <w:p w:rsidR="00041483" w:rsidRPr="00191E6C" w:rsidRDefault="00041483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83" w:rsidRPr="00191E6C" w:rsidRDefault="00041483" w:rsidP="00786DD0">
      <w:pPr>
        <w:spacing w:after="0" w:line="240" w:lineRule="auto"/>
      </w:pPr>
      <w:r>
        <w:separator/>
      </w:r>
    </w:p>
  </w:footnote>
  <w:footnote w:type="continuationSeparator" w:id="0">
    <w:p w:rsidR="00041483" w:rsidRPr="00191E6C" w:rsidRDefault="00041483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6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41483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06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610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031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907F1-F30A-4BA1-8BE6-1ECF348B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2025-09-24T11:53:00Z</cp:lastPrinted>
  <dcterms:created xsi:type="dcterms:W3CDTF">2025-09-24T11:56:00Z</dcterms:created>
  <dcterms:modified xsi:type="dcterms:W3CDTF">2025-09-24T11:56:00Z</dcterms:modified>
</cp:coreProperties>
</file>